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35160BA3"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r w:rsidRPr="003635C8">
        <w:t>R</w:t>
      </w:r>
      <w:r w:rsidR="003C564B" w:rsidRPr="003635C8">
        <w:t>4</w:t>
      </w:r>
      <w:r w:rsidRPr="003635C8">
        <w:t>-</w:t>
      </w:r>
      <w:r w:rsidR="00D46431" w:rsidRPr="003635C8">
        <w:t>19</w:t>
      </w:r>
      <w:r w:rsidR="003635C8" w:rsidRPr="003635C8">
        <w:t>08015</w:t>
      </w:r>
    </w:p>
    <w:p w14:paraId="50DC9730" w14:textId="1CDEFDC7"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6A012CF3" w:rsidR="00D309CC" w:rsidRPr="0008103A" w:rsidRDefault="00D309CC" w:rsidP="00D309CC">
      <w:pPr>
        <w:pStyle w:val="CH"/>
        <w:rPr>
          <w:b w:val="0"/>
        </w:rPr>
      </w:pPr>
      <w:r w:rsidRPr="0008103A">
        <w:t>Agenda item:</w:t>
      </w:r>
      <w:r>
        <w:tab/>
      </w:r>
      <w:r w:rsidR="00FA794C" w:rsidRPr="00FA794C">
        <w:t>9.13.2</w:t>
      </w:r>
    </w:p>
    <w:p w14:paraId="4DBE005A" w14:textId="77777777" w:rsidR="00D309CC" w:rsidRPr="0008103A" w:rsidRDefault="00D309CC" w:rsidP="00D309CC">
      <w:pPr>
        <w:pStyle w:val="CH"/>
        <w:rPr>
          <w:b w:val="0"/>
        </w:rPr>
      </w:pPr>
      <w:r>
        <w:t>Source:</w:t>
      </w:r>
      <w:r>
        <w:tab/>
        <w:t>Apple Inc.</w:t>
      </w:r>
    </w:p>
    <w:p w14:paraId="0D2061A1" w14:textId="0100D15C" w:rsidR="00D309CC" w:rsidRDefault="00D309CC" w:rsidP="00D309CC">
      <w:pPr>
        <w:pStyle w:val="CH"/>
      </w:pPr>
      <w:r w:rsidRPr="0008103A">
        <w:t>Title:</w:t>
      </w:r>
      <w:r w:rsidRPr="0008103A">
        <w:tab/>
      </w:r>
      <w:r w:rsidR="00FA794C" w:rsidRPr="00FA794C">
        <w:t>Views on beam correspondence enhancements in Rel-16</w:t>
      </w:r>
    </w:p>
    <w:p w14:paraId="052B1E0C" w14:textId="58690A36" w:rsidR="00104BC6" w:rsidRDefault="00104BC6" w:rsidP="00D309CC">
      <w:pPr>
        <w:pStyle w:val="CH"/>
      </w:pPr>
      <w:r>
        <w:t>WI/SI:</w:t>
      </w:r>
      <w:r>
        <w:tab/>
      </w:r>
      <w:r w:rsidR="00FA794C" w:rsidRPr="00FA794C">
        <w:t>NR_RF_FR2_req_enh</w:t>
      </w:r>
    </w:p>
    <w:p w14:paraId="6C6D1281" w14:textId="09629821" w:rsidR="00104BC6" w:rsidRDefault="00104BC6" w:rsidP="00D309CC">
      <w:pPr>
        <w:pStyle w:val="CH"/>
        <w:rPr>
          <w:b w:val="0"/>
        </w:rPr>
      </w:pPr>
      <w:r>
        <w:t>Release:</w:t>
      </w:r>
      <w:r>
        <w:tab/>
      </w:r>
      <w:r w:rsidR="00752075" w:rsidRPr="00752075">
        <w:t>Rel-1</w:t>
      </w:r>
      <w:r w:rsidR="00FA794C">
        <w:t>6</w:t>
      </w:r>
    </w:p>
    <w:p w14:paraId="2E4E044D" w14:textId="7E1EFEBE" w:rsidR="00D309CC" w:rsidRDefault="00D309CC" w:rsidP="00D309CC">
      <w:pPr>
        <w:pStyle w:val="CH"/>
      </w:pPr>
      <w:r>
        <w:t>Document for:</w:t>
      </w:r>
      <w:r>
        <w:tab/>
      </w:r>
      <w:r w:rsidR="00FA794C">
        <w:t>Discussion</w:t>
      </w:r>
    </w:p>
    <w:p w14:paraId="0207DB43" w14:textId="77777777" w:rsidR="00D46431" w:rsidRPr="0008103A" w:rsidRDefault="00D46431" w:rsidP="00D309CC">
      <w:pPr>
        <w:pStyle w:val="CH"/>
        <w:rPr>
          <w:b w:val="0"/>
        </w:rPr>
      </w:pPr>
    </w:p>
    <w:p w14:paraId="0273524A" w14:textId="1B43B714" w:rsidR="008E7986" w:rsidRPr="004D3578" w:rsidRDefault="008E7986" w:rsidP="008E7986">
      <w:pPr>
        <w:pStyle w:val="Heading1"/>
      </w:pPr>
      <w:r>
        <w:t>1</w:t>
      </w:r>
      <w:r>
        <w:tab/>
      </w:r>
      <w:r w:rsidRPr="004D3578">
        <w:t>Introduction</w:t>
      </w:r>
    </w:p>
    <w:p w14:paraId="793B4A50" w14:textId="4C54CA33" w:rsidR="002747FA" w:rsidRDefault="00C02552" w:rsidP="002747FA">
      <w:r>
        <w:t xml:space="preserve">The </w:t>
      </w:r>
      <w:r w:rsidR="00012549">
        <w:t xml:space="preserve">scope of the FR2 RF work item includes the following aspects </w:t>
      </w:r>
      <w:r w:rsidR="00D81E6F">
        <w:t xml:space="preserve">directly </w:t>
      </w:r>
      <w:r w:rsidR="00012549">
        <w:t xml:space="preserve">related to beam correspondence enhancement </w:t>
      </w:r>
      <w:r w:rsidR="00012549">
        <w:fldChar w:fldCharType="begin"/>
      </w:r>
      <w:r w:rsidR="00012549">
        <w:instrText xml:space="preserve"> REF _Ref16617333 \r \h </w:instrText>
      </w:r>
      <w:r w:rsidR="00012549">
        <w:fldChar w:fldCharType="separate"/>
      </w:r>
      <w:r w:rsidR="00BC1A6A">
        <w:t>[1]</w:t>
      </w:r>
      <w:r w:rsidR="00012549">
        <w:fldChar w:fldCharType="end"/>
      </w:r>
      <w:r w:rsidR="00012549">
        <w:t>:</w:t>
      </w:r>
    </w:p>
    <w:p w14:paraId="761EEDAD" w14:textId="4ADFF0DA" w:rsidR="00012549" w:rsidRDefault="00D81E6F" w:rsidP="002747FA">
      <w:r>
        <w:rPr>
          <w:noProof/>
        </w:rPr>
        <mc:AlternateContent>
          <mc:Choice Requires="wps">
            <w:drawing>
              <wp:inline distT="0" distB="0" distL="0" distR="0" wp14:anchorId="089570B2" wp14:editId="1D75CA55">
                <wp:extent cx="1828800" cy="1828800"/>
                <wp:effectExtent l="0" t="0" r="18415" b="889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3402BB6" w14:textId="77777777" w:rsidR="00D81E6F" w:rsidRPr="006804B0" w:rsidRDefault="00D81E6F" w:rsidP="00D81E6F">
                            <w:pPr>
                              <w:rPr>
                                <w:lang w:val="en-US"/>
                              </w:rPr>
                            </w:pPr>
                            <w:r w:rsidRPr="006804B0">
                              <w:t>FR2 UE Beam Correspondence requirements to ensure that UE performs beam correspondence based on DL reference signal (SSB or CSI-RS) configured by the network</w:t>
                            </w:r>
                          </w:p>
                          <w:p w14:paraId="6FD99A04" w14:textId="77777777" w:rsidR="00D81E6F" w:rsidRPr="00D81E6F" w:rsidRDefault="00D81E6F" w:rsidP="00D81E6F">
                            <w:pPr>
                              <w:pStyle w:val="B1"/>
                            </w:pPr>
                            <w:r>
                              <w:t>-</w:t>
                            </w:r>
                            <w:r>
                              <w:tab/>
                            </w:r>
                            <w:r w:rsidRPr="00D81E6F">
                              <w:t>This work is started after RAN#84 when the Rel-15 Beam Correspondence requirements are completed</w:t>
                            </w:r>
                          </w:p>
                          <w:p w14:paraId="09F66E70" w14:textId="77777777" w:rsidR="00D81E6F" w:rsidRPr="00D81E6F" w:rsidRDefault="00D81E6F" w:rsidP="00D81E6F">
                            <w:pPr>
                              <w:pStyle w:val="B1"/>
                            </w:pPr>
                            <w:r>
                              <w:t>-</w:t>
                            </w:r>
                            <w:r>
                              <w:tab/>
                            </w:r>
                            <w:r w:rsidRPr="00D81E6F">
                              <w:t>UE capability for supporting SSB based on BC and/or CSI-RS based on BC will be further discussed in WI phase.</w:t>
                            </w:r>
                          </w:p>
                          <w:p w14:paraId="4DF77037" w14:textId="77777777" w:rsidR="00D81E6F" w:rsidRPr="004A4449" w:rsidRDefault="00D81E6F" w:rsidP="004A4449">
                            <w:pPr>
                              <w:pStyle w:val="B1"/>
                            </w:pPr>
                            <w:r>
                              <w:t>-</w:t>
                            </w:r>
                            <w:r>
                              <w:tab/>
                            </w:r>
                            <w:r w:rsidRPr="00D81E6F">
                              <w:t>These requirements are only valid from Rel-16 onwards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89570B2"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fill o:detectmouseclick="t"/>
                <v:textbox style="mso-fit-shape-to-text:t">
                  <w:txbxContent>
                    <w:p w14:paraId="23402BB6" w14:textId="77777777" w:rsidR="00D81E6F" w:rsidRPr="006804B0" w:rsidRDefault="00D81E6F" w:rsidP="00D81E6F">
                      <w:pPr>
                        <w:rPr>
                          <w:lang w:val="en-US"/>
                        </w:rPr>
                      </w:pPr>
                      <w:r w:rsidRPr="006804B0">
                        <w:t>FR2 UE Beam Correspondence requirements to ensure that UE performs beam correspondence based on DL reference signal (SSB or CSI-RS) configured by the network</w:t>
                      </w:r>
                    </w:p>
                    <w:p w14:paraId="6FD99A04" w14:textId="77777777" w:rsidR="00D81E6F" w:rsidRPr="00D81E6F" w:rsidRDefault="00D81E6F" w:rsidP="00D81E6F">
                      <w:pPr>
                        <w:pStyle w:val="B1"/>
                      </w:pPr>
                      <w:r>
                        <w:t>-</w:t>
                      </w:r>
                      <w:r>
                        <w:tab/>
                      </w:r>
                      <w:r w:rsidRPr="00D81E6F">
                        <w:t>This work is started after RAN#84 when the Rel-15 Beam Correspondence requirements are completed</w:t>
                      </w:r>
                    </w:p>
                    <w:p w14:paraId="09F66E70" w14:textId="77777777" w:rsidR="00D81E6F" w:rsidRPr="00D81E6F" w:rsidRDefault="00D81E6F" w:rsidP="00D81E6F">
                      <w:pPr>
                        <w:pStyle w:val="B1"/>
                      </w:pPr>
                      <w:r>
                        <w:t>-</w:t>
                      </w:r>
                      <w:r>
                        <w:tab/>
                      </w:r>
                      <w:r w:rsidRPr="00D81E6F">
                        <w:t>UE capability for supporting SSB based on BC and/or CSI-RS based on BC will be further discussed in WI phase.</w:t>
                      </w:r>
                    </w:p>
                    <w:p w14:paraId="4DF77037" w14:textId="77777777" w:rsidR="00D81E6F" w:rsidRPr="004A4449" w:rsidRDefault="00D81E6F" w:rsidP="004A4449">
                      <w:pPr>
                        <w:pStyle w:val="B1"/>
                      </w:pPr>
                      <w:r>
                        <w:t>-</w:t>
                      </w:r>
                      <w:r>
                        <w:tab/>
                      </w:r>
                      <w:r w:rsidRPr="00D81E6F">
                        <w:t>These requirements are only valid from Rel-16 onwards</w:t>
                      </w:r>
                    </w:p>
                  </w:txbxContent>
                </v:textbox>
                <w10:anchorlock/>
              </v:shape>
            </w:pict>
          </mc:Fallback>
        </mc:AlternateContent>
      </w:r>
    </w:p>
    <w:p w14:paraId="0C27AA19" w14:textId="5AB12EE1" w:rsidR="00D81E6F" w:rsidRDefault="00D81E6F" w:rsidP="002747FA">
      <w:r>
        <w:t>In addition, the introduction of non-contiguous UL CA and inter-band UL CA also may impact the definition and applicability of this requirement to these UL CA cases.</w:t>
      </w:r>
    </w:p>
    <w:p w14:paraId="5A604F12" w14:textId="06096CF1" w:rsidR="00D81E6F" w:rsidRDefault="00D81E6F" w:rsidP="002747FA">
      <w:r>
        <w:t>This paper provides our initial views on the scope of beam correspondence enhancements in Rel-16.</w:t>
      </w:r>
    </w:p>
    <w:p w14:paraId="3A67921B" w14:textId="10D72052" w:rsidR="008E7986" w:rsidRDefault="008E7986" w:rsidP="008E7986">
      <w:pPr>
        <w:pStyle w:val="Heading1"/>
      </w:pPr>
      <w:r>
        <w:t>2</w:t>
      </w:r>
      <w:r>
        <w:tab/>
      </w:r>
      <w:r w:rsidR="00FB7CBD">
        <w:t>Discussion</w:t>
      </w:r>
    </w:p>
    <w:p w14:paraId="4D35103D" w14:textId="28CBDCAC" w:rsidR="004B351C" w:rsidRDefault="00182E9C" w:rsidP="00182E9C">
      <w:pPr>
        <w:pStyle w:val="Heading2"/>
        <w:rPr>
          <w:rFonts w:eastAsia="SimSun"/>
          <w:lang w:eastAsia="ja-JP" w:bidi="hi-IN"/>
        </w:rPr>
      </w:pPr>
      <w:r>
        <w:rPr>
          <w:rFonts w:eastAsia="SimSun"/>
          <w:lang w:eastAsia="ja-JP" w:bidi="hi-IN"/>
        </w:rPr>
        <w:t>2.1</w:t>
      </w:r>
      <w:r>
        <w:rPr>
          <w:rFonts w:eastAsia="SimSun"/>
          <w:lang w:eastAsia="ja-JP" w:bidi="hi-IN"/>
        </w:rPr>
        <w:tab/>
        <w:t>Reference signal density aspects</w:t>
      </w:r>
    </w:p>
    <w:p w14:paraId="2FDD70E7" w14:textId="1B2D4CE7" w:rsidR="00182E9C" w:rsidRDefault="00182E9C" w:rsidP="00182E9C">
      <w:pPr>
        <w:rPr>
          <w:rFonts w:eastAsia="SimSun"/>
          <w:lang w:eastAsia="ja-JP" w:bidi="hi-IN"/>
        </w:rPr>
      </w:pPr>
      <w:r>
        <w:rPr>
          <w:rFonts w:eastAsia="SimSun"/>
          <w:lang w:eastAsia="ja-JP" w:bidi="hi-IN"/>
        </w:rPr>
        <w:t xml:space="preserve">The Rel-15 requirement on beam correspondence has assumed the presence of both SSB and CSI-RS for the purpose of deriving the RSRP estimation error (as it relates to the accuracy of UL beam selection) and the SNR side conditions.  The Rel-16 work item objective to </w:t>
      </w:r>
      <w:r w:rsidR="000B7B49">
        <w:rPr>
          <w:rFonts w:eastAsia="SimSun"/>
          <w:lang w:eastAsia="ja-JP" w:bidi="hi-IN"/>
        </w:rPr>
        <w:t>determine</w:t>
      </w:r>
      <w:r>
        <w:rPr>
          <w:rFonts w:eastAsia="SimSun"/>
          <w:lang w:eastAsia="ja-JP" w:bidi="hi-IN"/>
        </w:rPr>
        <w:t xml:space="preserve"> whether to define a UE capability for supporting SSB based BC and/or CSI-RS based BC can be understood in two ways:</w:t>
      </w:r>
    </w:p>
    <w:p w14:paraId="06BD48C7" w14:textId="11C92FBD" w:rsidR="00182E9C" w:rsidRDefault="00182E9C" w:rsidP="00182E9C">
      <w:pPr>
        <w:pStyle w:val="B1"/>
        <w:rPr>
          <w:rFonts w:eastAsia="SimSun"/>
          <w:lang w:eastAsia="ja-JP" w:bidi="hi-IN"/>
        </w:rPr>
      </w:pPr>
      <w:r>
        <w:rPr>
          <w:rFonts w:eastAsia="SimSun"/>
          <w:lang w:eastAsia="ja-JP" w:bidi="hi-IN"/>
        </w:rPr>
        <w:t>1)</w:t>
      </w:r>
      <w:r>
        <w:rPr>
          <w:rFonts w:eastAsia="SimSun"/>
          <w:lang w:eastAsia="ja-JP" w:bidi="hi-IN"/>
        </w:rPr>
        <w:tab/>
        <w:t>The objective is intended to trigger a new evaluation of beam correspondence tolerance evaluations in an effort to define new RF requirements for a UE selecting UL beams based on measurements of SSB only or CSI-RS only.</w:t>
      </w:r>
    </w:p>
    <w:p w14:paraId="0FA8946D" w14:textId="32BDA1E4" w:rsidR="00182E9C" w:rsidRPr="00182E9C" w:rsidRDefault="00182E9C" w:rsidP="00182E9C">
      <w:pPr>
        <w:pStyle w:val="B1"/>
        <w:rPr>
          <w:rFonts w:eastAsia="SimSun"/>
          <w:lang w:eastAsia="ja-JP" w:bidi="hi-IN"/>
        </w:rPr>
      </w:pPr>
      <w:r>
        <w:rPr>
          <w:rFonts w:eastAsia="SimSun"/>
          <w:lang w:eastAsia="ja-JP" w:bidi="hi-IN"/>
        </w:rPr>
        <w:t>2)</w:t>
      </w:r>
      <w:r>
        <w:rPr>
          <w:rFonts w:eastAsia="SimSun"/>
          <w:lang w:eastAsia="ja-JP" w:bidi="hi-IN"/>
        </w:rPr>
        <w:tab/>
        <w:t>The objective is intended to provide a functional verification of the UE’s ability to select UL beams based on measurements of SSB only or CSI-RS only without necessarily reopening the RF requirement values on beam correspondence.</w:t>
      </w:r>
    </w:p>
    <w:p w14:paraId="1D5A3A0F" w14:textId="15E428D7" w:rsidR="004B351C" w:rsidRPr="003B329E" w:rsidRDefault="004B351C" w:rsidP="004B351C">
      <w:pPr>
        <w:pStyle w:val="Observation"/>
      </w:pPr>
      <w:bookmarkStart w:id="1" w:name="_Toc16557492"/>
      <w:bookmarkStart w:id="2" w:name="_Toc16557787"/>
      <w:bookmarkStart w:id="3" w:name="_Toc16617267"/>
      <w:bookmarkStart w:id="4" w:name="_Toc16619918"/>
      <w:r>
        <w:t>Observation 1:</w:t>
      </w:r>
      <w:r>
        <w:tab/>
      </w:r>
      <w:bookmarkEnd w:id="1"/>
      <w:bookmarkEnd w:id="2"/>
      <w:bookmarkEnd w:id="3"/>
      <w:r w:rsidR="00182E9C">
        <w:t xml:space="preserve">Given the workload of Rel-16 NR RF in general and the relative value of items 1) and 2) above, it is our understanding that the Rel-16 work item beam correspondence objective </w:t>
      </w:r>
      <w:r w:rsidR="00182E9C" w:rsidRPr="00182E9C">
        <w:t>is intended to provide a functional verification of the UE’s ability to select UL beams based on measurements of SSB only or CSI-RS only without necessarily reopening the RF requirement values on beam correspondence</w:t>
      </w:r>
      <w:r w:rsidR="00182E9C">
        <w:t>.</w:t>
      </w:r>
      <w:bookmarkEnd w:id="4"/>
    </w:p>
    <w:p w14:paraId="44391655" w14:textId="39AD6B0E" w:rsidR="00346BF3" w:rsidRDefault="00346BF3" w:rsidP="00314F0D">
      <w:pPr>
        <w:rPr>
          <w:rFonts w:eastAsia="SimSun"/>
          <w:lang w:eastAsia="ja-JP" w:bidi="hi-IN"/>
        </w:rPr>
      </w:pPr>
      <w:bookmarkStart w:id="5" w:name="_Toc16550842"/>
      <w:bookmarkStart w:id="6" w:name="_Toc16557495"/>
      <w:bookmarkStart w:id="7" w:name="_Toc16557790"/>
      <w:r>
        <w:rPr>
          <w:rFonts w:eastAsia="SimSun"/>
          <w:lang w:eastAsia="ja-JP" w:bidi="hi-IN"/>
        </w:rPr>
        <w:t xml:space="preserve">Based on the </w:t>
      </w:r>
      <w:r w:rsidR="00314F0D">
        <w:rPr>
          <w:rFonts w:eastAsia="SimSun"/>
          <w:lang w:eastAsia="ja-JP" w:bidi="hi-IN"/>
        </w:rPr>
        <w:t xml:space="preserve">analysis of DL SNR side conditions for the Rel-15 requirement on bream correspondence in </w:t>
      </w:r>
      <w:r w:rsidR="00314F0D">
        <w:rPr>
          <w:rFonts w:eastAsia="SimSun"/>
          <w:lang w:eastAsia="ja-JP" w:bidi="hi-IN"/>
        </w:rPr>
        <w:fldChar w:fldCharType="begin"/>
      </w:r>
      <w:r w:rsidR="00314F0D">
        <w:rPr>
          <w:rFonts w:eastAsia="SimSun"/>
          <w:lang w:eastAsia="ja-JP" w:bidi="hi-IN"/>
        </w:rPr>
        <w:instrText xml:space="preserve"> REF _Ref16618090 \r \h </w:instrText>
      </w:r>
      <w:r w:rsidR="00314F0D">
        <w:rPr>
          <w:rFonts w:eastAsia="SimSun"/>
          <w:lang w:eastAsia="ja-JP" w:bidi="hi-IN"/>
        </w:rPr>
      </w:r>
      <w:r w:rsidR="00314F0D">
        <w:rPr>
          <w:rFonts w:eastAsia="SimSun"/>
          <w:lang w:eastAsia="ja-JP" w:bidi="hi-IN"/>
        </w:rPr>
        <w:fldChar w:fldCharType="separate"/>
      </w:r>
      <w:r w:rsidR="00BC1A6A">
        <w:rPr>
          <w:rFonts w:eastAsia="SimSun"/>
          <w:lang w:eastAsia="ja-JP" w:bidi="hi-IN"/>
        </w:rPr>
        <w:t>[3]</w:t>
      </w:r>
      <w:r w:rsidR="00314F0D">
        <w:rPr>
          <w:rFonts w:eastAsia="SimSun"/>
          <w:lang w:eastAsia="ja-JP" w:bidi="hi-IN"/>
        </w:rPr>
        <w:fldChar w:fldCharType="end"/>
      </w:r>
      <w:r w:rsidR="00314F0D">
        <w:rPr>
          <w:rFonts w:eastAsia="SimSun"/>
          <w:lang w:eastAsia="ja-JP" w:bidi="hi-IN"/>
        </w:rPr>
        <w:t>, we note that t</w:t>
      </w:r>
      <w:r w:rsidR="00314F0D" w:rsidRPr="00314F0D">
        <w:rPr>
          <w:rFonts w:eastAsia="SimSun"/>
          <w:lang w:eastAsia="ja-JP" w:bidi="hi-IN"/>
        </w:rPr>
        <w:t xml:space="preserve">he UE’s ability to select an UL beam is directly related to the accuracy with which it estimates the optimal DL </w:t>
      </w:r>
      <w:r w:rsidR="00314F0D" w:rsidRPr="00314F0D">
        <w:rPr>
          <w:rFonts w:eastAsia="SimSun"/>
          <w:lang w:eastAsia="ja-JP" w:bidi="hi-IN"/>
        </w:rPr>
        <w:lastRenderedPageBreak/>
        <w:t>beam and is driven by RSRP error</w:t>
      </w:r>
      <w:r w:rsidR="00314F0D">
        <w:rPr>
          <w:rFonts w:eastAsia="SimSun"/>
          <w:lang w:eastAsia="ja-JP" w:bidi="hi-IN"/>
        </w:rPr>
        <w:t xml:space="preserve">.  The </w:t>
      </w:r>
      <w:r w:rsidR="00314F0D" w:rsidRPr="00314F0D">
        <w:rPr>
          <w:rFonts w:eastAsia="SimSun"/>
          <w:lang w:eastAsia="ja-JP" w:bidi="hi-IN"/>
        </w:rPr>
        <w:t>RSRP error depends on SNR condition</w:t>
      </w:r>
      <w:r w:rsidR="00314F0D">
        <w:rPr>
          <w:rFonts w:eastAsia="SimSun"/>
          <w:lang w:eastAsia="ja-JP" w:bidi="hi-IN"/>
        </w:rPr>
        <w:t xml:space="preserve">, which, in turn, depends on the </w:t>
      </w:r>
      <w:r w:rsidR="00314F0D" w:rsidRPr="00314F0D">
        <w:rPr>
          <w:rFonts w:eastAsia="SimSun"/>
          <w:lang w:eastAsia="ja-JP" w:bidi="hi-IN"/>
        </w:rPr>
        <w:t xml:space="preserve">RS density of the signal which the UE </w:t>
      </w:r>
      <w:r w:rsidR="00314F0D">
        <w:rPr>
          <w:rFonts w:eastAsia="SimSun"/>
          <w:lang w:eastAsia="ja-JP" w:bidi="hi-IN"/>
        </w:rPr>
        <w:t>is configured to use for UL beam selection.</w:t>
      </w:r>
    </w:p>
    <w:p w14:paraId="2761DAE7" w14:textId="4A2653AD" w:rsidR="00314F0D" w:rsidRPr="00314F0D" w:rsidRDefault="00314F0D" w:rsidP="00314F0D">
      <w:pPr>
        <w:rPr>
          <w:rFonts w:eastAsia="SimSun"/>
          <w:lang w:eastAsia="ja-JP" w:bidi="hi-IN"/>
        </w:rPr>
      </w:pPr>
      <w:r w:rsidRPr="00314F0D">
        <w:rPr>
          <w:rFonts w:eastAsia="SimSun"/>
          <w:lang w:eastAsia="ja-JP" w:bidi="hi-IN"/>
        </w:rPr>
        <w:t>One approach to defining the SSB only/CSI-RS only BC requirement is to focus on SNR side conditions derived from typical SSB and CSI-RS configurations</w:t>
      </w:r>
      <w:r>
        <w:rPr>
          <w:rFonts w:eastAsia="SimSun"/>
          <w:lang w:eastAsia="ja-JP" w:bidi="hi-IN"/>
        </w:rPr>
        <w:t xml:space="preserve"> in the following way:</w:t>
      </w:r>
    </w:p>
    <w:p w14:paraId="7017A615" w14:textId="29CE6CCF" w:rsidR="00314F0D" w:rsidRPr="00314F0D" w:rsidRDefault="00314F0D" w:rsidP="00314F0D">
      <w:pPr>
        <w:pStyle w:val="B1"/>
        <w:rPr>
          <w:rFonts w:eastAsia="SimSun"/>
          <w:lang w:eastAsia="ja-JP" w:bidi="hi-IN"/>
        </w:rPr>
      </w:pPr>
      <w:r>
        <w:rPr>
          <w:rFonts w:eastAsia="SimSun"/>
          <w:lang w:eastAsia="ja-JP" w:bidi="hi-IN"/>
        </w:rPr>
        <w:t>-</w:t>
      </w:r>
      <w:r>
        <w:rPr>
          <w:rFonts w:eastAsia="SimSun"/>
          <w:lang w:eastAsia="ja-JP" w:bidi="hi-IN"/>
        </w:rPr>
        <w:tab/>
      </w:r>
      <w:r w:rsidRPr="00314F0D">
        <w:rPr>
          <w:rFonts w:eastAsia="SimSun"/>
          <w:lang w:eastAsia="ja-JP" w:bidi="hi-IN"/>
        </w:rPr>
        <w:t>Baseline: identify the typical SSB and CSI-RS configuration which can represent the RS density of the Rel-15 requirement as a baseline</w:t>
      </w:r>
    </w:p>
    <w:p w14:paraId="564B6F7C" w14:textId="6F8E9670" w:rsidR="00314F0D" w:rsidRPr="00314F0D" w:rsidRDefault="00314F0D" w:rsidP="00314F0D">
      <w:pPr>
        <w:pStyle w:val="B1"/>
        <w:rPr>
          <w:rFonts w:eastAsia="SimSun"/>
          <w:lang w:eastAsia="ja-JP" w:bidi="hi-IN"/>
        </w:rPr>
      </w:pPr>
      <w:r>
        <w:rPr>
          <w:rFonts w:eastAsia="SimSun"/>
          <w:lang w:eastAsia="ja-JP" w:bidi="hi-IN"/>
        </w:rPr>
        <w:t>-</w:t>
      </w:r>
      <w:r>
        <w:rPr>
          <w:rFonts w:eastAsia="SimSun"/>
          <w:lang w:eastAsia="ja-JP" w:bidi="hi-IN"/>
        </w:rPr>
        <w:tab/>
      </w:r>
      <w:r w:rsidRPr="00314F0D">
        <w:rPr>
          <w:rFonts w:eastAsia="SimSun"/>
          <w:lang w:eastAsia="ja-JP" w:bidi="hi-IN"/>
        </w:rPr>
        <w:t>SSB only: determine the RS density reduction from baseline</w:t>
      </w:r>
    </w:p>
    <w:p w14:paraId="4D71B86E" w14:textId="77777777" w:rsidR="00314F0D" w:rsidRDefault="00314F0D" w:rsidP="00314F0D">
      <w:pPr>
        <w:pStyle w:val="B1"/>
        <w:rPr>
          <w:rFonts w:eastAsia="SimSun"/>
          <w:lang w:eastAsia="ja-JP" w:bidi="hi-IN"/>
        </w:rPr>
      </w:pPr>
      <w:r>
        <w:rPr>
          <w:rFonts w:eastAsia="SimSun"/>
          <w:lang w:eastAsia="ja-JP" w:bidi="hi-IN"/>
        </w:rPr>
        <w:t>-</w:t>
      </w:r>
      <w:r>
        <w:rPr>
          <w:rFonts w:eastAsia="SimSun"/>
          <w:lang w:eastAsia="ja-JP" w:bidi="hi-IN"/>
        </w:rPr>
        <w:tab/>
      </w:r>
      <w:r w:rsidRPr="00314F0D">
        <w:rPr>
          <w:rFonts w:eastAsia="SimSun"/>
          <w:lang w:eastAsia="ja-JP" w:bidi="hi-IN"/>
        </w:rPr>
        <w:t>CSI-RS only: determine the typical CSI-RS configuration in this scenario and determine the RS density reduction from baseline</w:t>
      </w:r>
    </w:p>
    <w:p w14:paraId="167521EC" w14:textId="1AD21D21" w:rsidR="00314F0D" w:rsidRDefault="00314F0D" w:rsidP="00314F0D">
      <w:pPr>
        <w:pStyle w:val="B1"/>
        <w:rPr>
          <w:rFonts w:eastAsia="SimSun"/>
          <w:lang w:eastAsia="ja-JP" w:bidi="hi-IN"/>
        </w:rPr>
      </w:pPr>
      <w:r>
        <w:rPr>
          <w:rFonts w:eastAsia="SimSun"/>
          <w:lang w:eastAsia="ja-JP" w:bidi="hi-IN"/>
        </w:rPr>
        <w:t>-</w:t>
      </w:r>
      <w:r>
        <w:rPr>
          <w:rFonts w:eastAsia="SimSun"/>
          <w:lang w:eastAsia="ja-JP" w:bidi="hi-IN"/>
        </w:rPr>
        <w:tab/>
      </w:r>
      <w:r w:rsidRPr="00314F0D">
        <w:rPr>
          <w:rFonts w:eastAsia="SimSun"/>
          <w:lang w:eastAsia="ja-JP" w:bidi="hi-IN"/>
        </w:rPr>
        <w:t>Given the side conditions for the baseline case (</w:t>
      </w:r>
      <w:r w:rsidR="000B7B49">
        <w:rPr>
          <w:rFonts w:eastAsia="SimSun"/>
          <w:lang w:eastAsia="ja-JP" w:bidi="hi-IN"/>
        </w:rPr>
        <w:t>i.e.</w:t>
      </w:r>
      <w:r w:rsidRPr="00314F0D">
        <w:rPr>
          <w:rFonts w:eastAsia="SimSun"/>
          <w:lang w:eastAsia="ja-JP" w:bidi="hi-IN"/>
        </w:rPr>
        <w:t xml:space="preserve"> </w:t>
      </w:r>
      <w:r w:rsidR="000B7B49">
        <w:rPr>
          <w:rFonts w:eastAsia="SimSun"/>
          <w:lang w:eastAsia="ja-JP" w:bidi="hi-IN"/>
        </w:rPr>
        <w:t xml:space="preserve">the </w:t>
      </w:r>
      <w:r w:rsidRPr="00314F0D">
        <w:rPr>
          <w:rFonts w:eastAsia="SimSun"/>
          <w:lang w:eastAsia="ja-JP" w:bidi="hi-IN"/>
        </w:rPr>
        <w:t xml:space="preserve">Rel-15 requirement), determine </w:t>
      </w:r>
      <w:r w:rsidR="000B7B49">
        <w:rPr>
          <w:rFonts w:eastAsia="SimSun"/>
          <w:lang w:eastAsia="ja-JP" w:bidi="hi-IN"/>
        </w:rPr>
        <w:t xml:space="preserve">the </w:t>
      </w:r>
      <w:r w:rsidRPr="00314F0D">
        <w:rPr>
          <w:rFonts w:eastAsia="SimSun"/>
          <w:lang w:eastAsia="ja-JP" w:bidi="hi-IN"/>
        </w:rPr>
        <w:t>side conditions for SSB only and CSI-RS only cases based on RS density reduction</w:t>
      </w:r>
      <w:r w:rsidR="000B7B49">
        <w:rPr>
          <w:rFonts w:eastAsia="SimSun"/>
          <w:lang w:eastAsia="ja-JP" w:bidi="hi-IN"/>
        </w:rPr>
        <w:t>s determined above</w:t>
      </w:r>
    </w:p>
    <w:p w14:paraId="6490A253" w14:textId="76FF009A" w:rsidR="00314F0D" w:rsidRPr="00314F0D" w:rsidRDefault="00314F0D" w:rsidP="00314F0D">
      <w:pPr>
        <w:rPr>
          <w:rFonts w:eastAsia="SimSun"/>
          <w:lang w:eastAsia="ja-JP" w:bidi="hi-IN"/>
        </w:rPr>
      </w:pPr>
      <w:bookmarkStart w:id="8" w:name="_GoBack"/>
      <w:bookmarkEnd w:id="8"/>
      <w:r>
        <w:rPr>
          <w:rFonts w:eastAsia="SimSun"/>
          <w:lang w:eastAsia="ja-JP" w:bidi="hi-IN"/>
        </w:rPr>
        <w:t>T</w:t>
      </w:r>
      <w:r w:rsidRPr="00314F0D">
        <w:rPr>
          <w:rFonts w:eastAsia="SimSun"/>
          <w:lang w:eastAsia="ja-JP" w:bidi="hi-IN"/>
        </w:rPr>
        <w:t xml:space="preserve">his approach allows us to maintain the same </w:t>
      </w:r>
      <w:r>
        <w:rPr>
          <w:rFonts w:eastAsia="SimSun"/>
          <w:lang w:eastAsia="ja-JP" w:bidi="hi-IN"/>
        </w:rPr>
        <w:t>beam correspondence</w:t>
      </w:r>
      <w:r w:rsidRPr="00314F0D">
        <w:rPr>
          <w:rFonts w:eastAsia="SimSun"/>
          <w:lang w:eastAsia="ja-JP" w:bidi="hi-IN"/>
        </w:rPr>
        <w:t xml:space="preserve"> RF requirement for these cases by</w:t>
      </w:r>
      <w:r>
        <w:rPr>
          <w:rFonts w:eastAsia="SimSun"/>
          <w:lang w:eastAsia="ja-JP" w:bidi="hi-IN"/>
        </w:rPr>
        <w:t xml:space="preserve"> simply</w:t>
      </w:r>
      <w:r w:rsidRPr="00314F0D">
        <w:rPr>
          <w:rFonts w:eastAsia="SimSun"/>
          <w:lang w:eastAsia="ja-JP" w:bidi="hi-IN"/>
        </w:rPr>
        <w:t xml:space="preserve"> </w:t>
      </w:r>
      <w:r>
        <w:rPr>
          <w:rFonts w:eastAsia="SimSun"/>
          <w:lang w:eastAsia="ja-JP" w:bidi="hi-IN"/>
        </w:rPr>
        <w:t>adjusting</w:t>
      </w:r>
      <w:r w:rsidRPr="00314F0D">
        <w:rPr>
          <w:rFonts w:eastAsia="SimSun"/>
          <w:lang w:eastAsia="ja-JP" w:bidi="hi-IN"/>
        </w:rPr>
        <w:t xml:space="preserve"> the SNR side conditions in the test setup</w:t>
      </w:r>
      <w:r>
        <w:rPr>
          <w:rFonts w:eastAsia="SimSun"/>
          <w:lang w:eastAsia="ja-JP" w:bidi="hi-IN"/>
        </w:rPr>
        <w:t xml:space="preserve"> to match the RS density reduction from baseline for each applicable case.</w:t>
      </w:r>
    </w:p>
    <w:p w14:paraId="003E8109" w14:textId="66035BEC" w:rsidR="00314F0D" w:rsidRDefault="00314F0D" w:rsidP="00314F0D">
      <w:pPr>
        <w:rPr>
          <w:rFonts w:eastAsia="SimSun"/>
          <w:lang w:eastAsia="ja-JP" w:bidi="hi-IN"/>
        </w:rPr>
      </w:pPr>
      <w:r w:rsidRPr="00314F0D">
        <w:rPr>
          <w:rFonts w:eastAsia="SimSun"/>
          <w:lang w:eastAsia="ja-JP" w:bidi="hi-IN"/>
        </w:rPr>
        <w:t xml:space="preserve">It can </w:t>
      </w:r>
      <w:r>
        <w:rPr>
          <w:rFonts w:eastAsia="SimSun"/>
          <w:lang w:eastAsia="ja-JP" w:bidi="hi-IN"/>
        </w:rPr>
        <w:t xml:space="preserve">also </w:t>
      </w:r>
      <w:r w:rsidRPr="00314F0D">
        <w:rPr>
          <w:rFonts w:eastAsia="SimSun"/>
          <w:lang w:eastAsia="ja-JP" w:bidi="hi-IN"/>
        </w:rPr>
        <w:t>be useful to identify ways to reduce the overall testing time, such that the entire spherical coverage test measurement is not performed multiple times</w:t>
      </w:r>
    </w:p>
    <w:p w14:paraId="0E928077" w14:textId="04B36A97" w:rsidR="004B351C" w:rsidRPr="002823DB" w:rsidRDefault="00B95542" w:rsidP="002823DB">
      <w:pPr>
        <w:pStyle w:val="Proposal"/>
      </w:pPr>
      <w:bookmarkStart w:id="9" w:name="_Toc16617268"/>
      <w:bookmarkStart w:id="10" w:name="_Toc16619921"/>
      <w:r>
        <w:t>Proposal 1:</w:t>
      </w:r>
      <w:r>
        <w:tab/>
      </w:r>
      <w:r w:rsidR="00314F0D">
        <w:t>To define the Rel-16 requirement for beam correspondence based on SSB only and/or CSI-RS only use the RS density reduction approach to adjust the SNR side conditions without modifying the RF requirement</w:t>
      </w:r>
      <w:r>
        <w:t>.</w:t>
      </w:r>
      <w:bookmarkEnd w:id="5"/>
      <w:bookmarkEnd w:id="6"/>
      <w:bookmarkEnd w:id="7"/>
      <w:bookmarkEnd w:id="9"/>
      <w:bookmarkEnd w:id="10"/>
      <w:r>
        <w:t xml:space="preserve"> </w:t>
      </w:r>
    </w:p>
    <w:p w14:paraId="31C8441B" w14:textId="4EC1A311" w:rsidR="00314F0D" w:rsidRDefault="00314F0D" w:rsidP="00314F0D">
      <w:pPr>
        <w:pStyle w:val="Heading2"/>
        <w:rPr>
          <w:rFonts w:eastAsia="SimSun"/>
          <w:lang w:eastAsia="ja-JP" w:bidi="hi-IN"/>
        </w:rPr>
      </w:pPr>
      <w:r>
        <w:rPr>
          <w:rFonts w:eastAsia="SimSun"/>
          <w:lang w:eastAsia="ja-JP" w:bidi="hi-IN"/>
        </w:rPr>
        <w:t>2.2</w:t>
      </w:r>
      <w:r>
        <w:rPr>
          <w:rFonts w:eastAsia="SimSun"/>
          <w:lang w:eastAsia="ja-JP" w:bidi="hi-IN"/>
        </w:rPr>
        <w:tab/>
        <w:t>UL carrier aggregation aspects</w:t>
      </w:r>
    </w:p>
    <w:p w14:paraId="12E15858" w14:textId="2E612BDA" w:rsidR="00314F0D" w:rsidRDefault="00314F0D" w:rsidP="00314F0D">
      <w:pPr>
        <w:rPr>
          <w:rFonts w:eastAsia="SimSun"/>
          <w:lang w:eastAsia="ja-JP" w:bidi="hi-IN"/>
        </w:rPr>
      </w:pPr>
      <w:r w:rsidRPr="00314F0D">
        <w:rPr>
          <w:rFonts w:eastAsia="SimSun"/>
          <w:lang w:eastAsia="ja-JP" w:bidi="hi-IN"/>
        </w:rPr>
        <w:t xml:space="preserve">From the perspective of UL beam selection based on DL measurements, </w:t>
      </w:r>
      <w:r>
        <w:rPr>
          <w:rFonts w:eastAsia="SimSun"/>
          <w:lang w:eastAsia="ja-JP" w:bidi="hi-IN"/>
        </w:rPr>
        <w:t>a number</w:t>
      </w:r>
      <w:r w:rsidRPr="00314F0D">
        <w:rPr>
          <w:rFonts w:eastAsia="SimSun"/>
          <w:lang w:eastAsia="ja-JP" w:bidi="hi-IN"/>
        </w:rPr>
        <w:t xml:space="preserve"> CA scenarios can be considered</w:t>
      </w:r>
      <w:r>
        <w:rPr>
          <w:rFonts w:eastAsia="SimSun"/>
          <w:lang w:eastAsia="ja-JP" w:bidi="hi-IN"/>
        </w:rPr>
        <w:t>, as illustrated in Figure 1 below.</w:t>
      </w:r>
    </w:p>
    <w:p w14:paraId="7F28070F" w14:textId="495F7495" w:rsidR="00472D0B" w:rsidRDefault="00472D0B" w:rsidP="00314F0D">
      <w:pPr>
        <w:rPr>
          <w:noProof/>
        </w:rPr>
      </w:pPr>
      <w:r>
        <w:rPr>
          <w:rFonts w:eastAsia="SimSun"/>
          <w:lang w:eastAsia="ja-JP" w:bidi="hi-IN"/>
        </w:rPr>
        <w:t>a)</w:t>
      </w:r>
      <w:r w:rsidRPr="00472D0B">
        <w:rPr>
          <w:rFonts w:eastAsia="SimSun"/>
          <w:noProof/>
          <w:lang w:eastAsia="ja-JP" w:bidi="hi-IN"/>
        </w:rPr>
        <w:drawing>
          <wp:inline distT="0" distB="0" distL="0" distR="0" wp14:anchorId="4337C513" wp14:editId="6ACCBBF8">
            <wp:extent cx="2286000" cy="13344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86000" cy="1334411"/>
                    </a:xfrm>
                    <a:prstGeom prst="rect">
                      <a:avLst/>
                    </a:prstGeom>
                  </pic:spPr>
                </pic:pic>
              </a:graphicData>
            </a:graphic>
          </wp:inline>
        </w:drawing>
      </w:r>
      <w:r>
        <w:rPr>
          <w:rFonts w:eastAsia="SimSun"/>
          <w:lang w:eastAsia="ja-JP" w:bidi="hi-IN"/>
        </w:rPr>
        <w:t>b)</w:t>
      </w:r>
      <w:r w:rsidRPr="00472D0B">
        <w:rPr>
          <w:noProof/>
        </w:rPr>
        <w:t xml:space="preserve"> </w:t>
      </w:r>
      <w:r w:rsidRPr="00472D0B">
        <w:rPr>
          <w:rFonts w:eastAsia="SimSun"/>
          <w:noProof/>
          <w:lang w:eastAsia="ja-JP" w:bidi="hi-IN"/>
        </w:rPr>
        <w:drawing>
          <wp:inline distT="0" distB="0" distL="0" distR="0" wp14:anchorId="04C52188" wp14:editId="5DCB0AB1">
            <wp:extent cx="2286000" cy="180242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86000" cy="1802423"/>
                    </a:xfrm>
                    <a:prstGeom prst="rect">
                      <a:avLst/>
                    </a:prstGeom>
                  </pic:spPr>
                </pic:pic>
              </a:graphicData>
            </a:graphic>
          </wp:inline>
        </w:drawing>
      </w:r>
      <w:r>
        <w:rPr>
          <w:noProof/>
        </w:rPr>
        <w:br/>
        <w:t>c)</w:t>
      </w:r>
      <w:r w:rsidRPr="00472D0B">
        <w:rPr>
          <w:noProof/>
        </w:rPr>
        <w:t xml:space="preserve"> </w:t>
      </w:r>
      <w:r w:rsidRPr="00472D0B">
        <w:rPr>
          <w:noProof/>
        </w:rPr>
        <w:drawing>
          <wp:inline distT="0" distB="0" distL="0" distR="0" wp14:anchorId="06EE4872" wp14:editId="31F6BC84">
            <wp:extent cx="2286000" cy="1802423"/>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86000" cy="1802423"/>
                    </a:xfrm>
                    <a:prstGeom prst="rect">
                      <a:avLst/>
                    </a:prstGeom>
                  </pic:spPr>
                </pic:pic>
              </a:graphicData>
            </a:graphic>
          </wp:inline>
        </w:drawing>
      </w:r>
      <w:r>
        <w:rPr>
          <w:noProof/>
        </w:rPr>
        <w:t>d)</w:t>
      </w:r>
      <w:r w:rsidRPr="00472D0B">
        <w:rPr>
          <w:noProof/>
        </w:rPr>
        <w:t xml:space="preserve"> </w:t>
      </w:r>
      <w:r w:rsidRPr="00472D0B">
        <w:rPr>
          <w:noProof/>
        </w:rPr>
        <w:drawing>
          <wp:inline distT="0" distB="0" distL="0" distR="0" wp14:anchorId="2DFBA5D5" wp14:editId="750CBAF1">
            <wp:extent cx="2468880" cy="22285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8880" cy="2228547"/>
                    </a:xfrm>
                    <a:prstGeom prst="rect">
                      <a:avLst/>
                    </a:prstGeom>
                  </pic:spPr>
                </pic:pic>
              </a:graphicData>
            </a:graphic>
          </wp:inline>
        </w:drawing>
      </w:r>
    </w:p>
    <w:p w14:paraId="1BE35C96" w14:textId="6A4225CE" w:rsidR="0037118D" w:rsidRPr="004D3578" w:rsidRDefault="0037118D" w:rsidP="0037118D">
      <w:pPr>
        <w:pStyle w:val="TF"/>
      </w:pPr>
      <w:r w:rsidRPr="004D3578">
        <w:t xml:space="preserve">Figure 1: </w:t>
      </w:r>
      <w:r>
        <w:t>Beam correspondence scenarios with carrier aggregation</w:t>
      </w:r>
      <w:r w:rsidRPr="004D3578">
        <w:t xml:space="preserve"> </w:t>
      </w:r>
    </w:p>
    <w:p w14:paraId="7004E1A4" w14:textId="7D876158" w:rsidR="008A5183" w:rsidRDefault="008A5183" w:rsidP="008A5183">
      <w:pPr>
        <w:rPr>
          <w:noProof/>
        </w:rPr>
      </w:pPr>
      <w:r>
        <w:rPr>
          <w:noProof/>
        </w:rPr>
        <w:lastRenderedPageBreak/>
        <w:t xml:space="preserve">The Rel-15 beam correspondence requirement for intra-band contiguous CA (limited to 800 MHz aggregate BW in Rel-15) captures the following formulation </w:t>
      </w:r>
      <w:r>
        <w:rPr>
          <w:noProof/>
        </w:rPr>
        <w:fldChar w:fldCharType="begin"/>
      </w:r>
      <w:r>
        <w:rPr>
          <w:noProof/>
        </w:rPr>
        <w:instrText xml:space="preserve"> REF _Ref16618645 \r \h </w:instrText>
      </w:r>
      <w:r>
        <w:rPr>
          <w:noProof/>
        </w:rPr>
      </w:r>
      <w:r>
        <w:rPr>
          <w:noProof/>
        </w:rPr>
        <w:fldChar w:fldCharType="separate"/>
      </w:r>
      <w:r w:rsidR="00BC1A6A">
        <w:rPr>
          <w:noProof/>
        </w:rPr>
        <w:t>[2]</w:t>
      </w:r>
      <w:r>
        <w:rPr>
          <w:noProof/>
        </w:rPr>
        <w:fldChar w:fldCharType="end"/>
      </w:r>
      <w:r>
        <w:rPr>
          <w:noProof/>
        </w:rPr>
        <w:t>:</w:t>
      </w:r>
    </w:p>
    <w:p w14:paraId="06514937" w14:textId="77777777" w:rsidR="008A5183" w:rsidRDefault="008A5183" w:rsidP="008A5183">
      <w:pPr>
        <w:pBdr>
          <w:top w:val="single" w:sz="4" w:space="1" w:color="auto"/>
          <w:left w:val="single" w:sz="4" w:space="4" w:color="auto"/>
          <w:bottom w:val="single" w:sz="4" w:space="1" w:color="auto"/>
          <w:right w:val="single" w:sz="4" w:space="4" w:color="auto"/>
        </w:pBdr>
        <w:rPr>
          <w:noProof/>
        </w:rPr>
      </w:pPr>
      <w:r w:rsidRPr="008230BD">
        <w:rPr>
          <w:noProof/>
        </w:rPr>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7E8D619A" w14:textId="38888418" w:rsidR="006B2C6E" w:rsidRPr="003B329E" w:rsidRDefault="006B2C6E" w:rsidP="006B2C6E">
      <w:pPr>
        <w:pStyle w:val="Observation"/>
      </w:pPr>
      <w:bookmarkStart w:id="11" w:name="_Toc16619919"/>
      <w:r>
        <w:t>Observation 2:</w:t>
      </w:r>
      <w:r>
        <w:tab/>
        <w:t>T</w:t>
      </w:r>
      <w:r w:rsidRPr="006B2C6E">
        <w:t>he phrase “the same beam correspondence relationship for beam management is supported across CCs” implies that the UE shall be able to make DL measurements anywhere within the CCs (scope limited to contiguous UL CA up to 800 MHz aggregate BW) and be able to form the UL beam for an UL allocation anywhere within the CCs.</w:t>
      </w:r>
      <w:bookmarkEnd w:id="11"/>
    </w:p>
    <w:p w14:paraId="471D8837" w14:textId="4AE6125B" w:rsidR="008A5183" w:rsidRDefault="008A5183" w:rsidP="008A5183">
      <w:pPr>
        <w:rPr>
          <w:noProof/>
        </w:rPr>
      </w:pPr>
      <w:r>
        <w:rPr>
          <w:noProof/>
        </w:rPr>
        <w:t>This scenario is captured in Figure 1a.</w:t>
      </w:r>
    </w:p>
    <w:p w14:paraId="2F79D59E" w14:textId="75178C80" w:rsidR="008A5183" w:rsidRDefault="00444D0B" w:rsidP="008A5183">
      <w:pPr>
        <w:rPr>
          <w:noProof/>
        </w:rPr>
      </w:pPr>
      <w:r>
        <w:rPr>
          <w:noProof/>
        </w:rPr>
        <w:t>A potential enhancement of the UL aggregate BW for contiguous UL CA in Rel-16 can motivate Figure 1b and the associated analysis of whether the same beam correspondence formulation can be applied to this case.</w:t>
      </w:r>
    </w:p>
    <w:p w14:paraId="6E4A371C" w14:textId="20691600" w:rsidR="00C01331" w:rsidRDefault="00C01331" w:rsidP="00673F6C">
      <w:pPr>
        <w:rPr>
          <w:noProof/>
        </w:rPr>
      </w:pPr>
      <w:r>
        <w:rPr>
          <w:noProof/>
        </w:rPr>
        <w:t xml:space="preserve">Considering UL non-contiguous CA (Figure 1c), </w:t>
      </w:r>
      <w:r w:rsidR="00230B5B">
        <w:rPr>
          <w:noProof/>
        </w:rPr>
        <w:t>the following</w:t>
      </w:r>
      <w:r>
        <w:rPr>
          <w:noProof/>
        </w:rPr>
        <w:t xml:space="preserve"> </w:t>
      </w:r>
      <w:r w:rsidR="00230B5B">
        <w:rPr>
          <w:noProof/>
        </w:rPr>
        <w:t>aspects need clarification:</w:t>
      </w:r>
    </w:p>
    <w:p w14:paraId="6D915FA3" w14:textId="6C85D29A" w:rsidR="00230B5B" w:rsidRDefault="00230B5B" w:rsidP="00230B5B">
      <w:pPr>
        <w:pStyle w:val="B1"/>
        <w:rPr>
          <w:noProof/>
        </w:rPr>
      </w:pPr>
      <w:r>
        <w:rPr>
          <w:noProof/>
        </w:rPr>
        <w:t>-</w:t>
      </w:r>
      <w:r>
        <w:rPr>
          <w:noProof/>
        </w:rPr>
        <w:tab/>
        <w:t>Can the same beam correspondence relationship hold across non-contiguous UL CCs if their frequency separation is bounded by X MHz?</w:t>
      </w:r>
    </w:p>
    <w:p w14:paraId="64ED5CCC" w14:textId="0A4B5FFA" w:rsidR="00230B5B" w:rsidRDefault="00230B5B" w:rsidP="00230B5B">
      <w:pPr>
        <w:pStyle w:val="B1"/>
        <w:rPr>
          <w:noProof/>
        </w:rPr>
      </w:pPr>
      <w:r>
        <w:rPr>
          <w:noProof/>
        </w:rPr>
        <w:t>-</w:t>
      </w:r>
      <w:r>
        <w:rPr>
          <w:noProof/>
        </w:rPr>
        <w:tab/>
        <w:t>Are there any other considerations from the network or UE perspective which may invalidate this formulation?</w:t>
      </w:r>
    </w:p>
    <w:p w14:paraId="3C8BBEB1" w14:textId="69F71818" w:rsidR="00673F6C" w:rsidRDefault="00230B5B" w:rsidP="00673F6C">
      <w:pPr>
        <w:rPr>
          <w:noProof/>
        </w:rPr>
      </w:pPr>
      <w:r>
        <w:rPr>
          <w:noProof/>
        </w:rPr>
        <w:t>Considering UL i</w:t>
      </w:r>
      <w:r w:rsidR="00673F6C">
        <w:rPr>
          <w:noProof/>
        </w:rPr>
        <w:t>nter-band</w:t>
      </w:r>
      <w:r>
        <w:rPr>
          <w:noProof/>
        </w:rPr>
        <w:t xml:space="preserve"> CA (Figure 1d), </w:t>
      </w:r>
      <w:r w:rsidR="006B2C6E">
        <w:rPr>
          <w:noProof/>
        </w:rPr>
        <w:t>it is reasonable to refer to the reference UE RF architecture which was used to derive the FR2 power class / spherical coverage requirements and to observe that different transceiver chains and phase shifter networks were assumed for the 28 GHz and 39 GHz groups of bands.</w:t>
      </w:r>
    </w:p>
    <w:p w14:paraId="07C1A3D0" w14:textId="200111D9" w:rsidR="006B2C6E" w:rsidRPr="003B329E" w:rsidRDefault="006B2C6E" w:rsidP="006B2C6E">
      <w:pPr>
        <w:pStyle w:val="Observation"/>
      </w:pPr>
      <w:bookmarkStart w:id="12" w:name="_Toc16619920"/>
      <w:r>
        <w:t>Observation 3:</w:t>
      </w:r>
      <w:r>
        <w:tab/>
      </w:r>
      <w:r w:rsidR="00475964">
        <w:t xml:space="preserve">At least in the cases of UL CA between n260 and n257, n258, or n261 and between n259 and  n257, n258, or n261 it cannot be assumed </w:t>
      </w:r>
      <w:r w:rsidR="00475964" w:rsidRPr="006B2C6E">
        <w:t>the same beam correspondence relationship for beam management is supported across CCs</w:t>
      </w:r>
      <w:r w:rsidR="00475964">
        <w:t>, since the UE and/or the network may be using different hardware (which may not be co-located), thereby breaking any fixed spatial relationship between the carriers</w:t>
      </w:r>
      <w:r w:rsidRPr="006B2C6E">
        <w:t>.</w:t>
      </w:r>
      <w:bookmarkEnd w:id="12"/>
    </w:p>
    <w:p w14:paraId="04DB99A6" w14:textId="14E6F171" w:rsidR="006B2C6E" w:rsidRDefault="006B2C6E" w:rsidP="006B2C6E">
      <w:r>
        <w:t>Figure 3 below illustrates the FR2 bands in Rel-16.</w:t>
      </w:r>
    </w:p>
    <w:p w14:paraId="77A22E66" w14:textId="77777777" w:rsidR="006B2C6E" w:rsidRDefault="006B2C6E" w:rsidP="006B2C6E"/>
    <w:p w14:paraId="23DAE8A1" w14:textId="77777777" w:rsidR="006B2C6E" w:rsidRDefault="006B2C6E" w:rsidP="006B2C6E">
      <w:pPr>
        <w:jc w:val="center"/>
      </w:pPr>
      <w:r w:rsidRPr="00F83F50">
        <w:rPr>
          <w:noProof/>
        </w:rPr>
        <w:drawing>
          <wp:inline distT="0" distB="0" distL="0" distR="0" wp14:anchorId="506AA695" wp14:editId="2685948C">
            <wp:extent cx="2832100" cy="2616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100" cy="2616200"/>
                    </a:xfrm>
                    <a:prstGeom prst="rect">
                      <a:avLst/>
                    </a:prstGeom>
                  </pic:spPr>
                </pic:pic>
              </a:graphicData>
            </a:graphic>
          </wp:inline>
        </w:drawing>
      </w:r>
    </w:p>
    <w:p w14:paraId="201B3FC8" w14:textId="1F1457D9" w:rsidR="006B2C6E" w:rsidRPr="004D3578" w:rsidRDefault="006B2C6E" w:rsidP="006B2C6E">
      <w:pPr>
        <w:pStyle w:val="TF"/>
      </w:pPr>
      <w:r w:rsidRPr="004D3578">
        <w:t xml:space="preserve">Figure </w:t>
      </w:r>
      <w:r w:rsidR="00BC1A6A">
        <w:t>2</w:t>
      </w:r>
      <w:r w:rsidRPr="004D3578">
        <w:t xml:space="preserve">: </w:t>
      </w:r>
      <w:r>
        <w:t>FR2 bands in Rel-16</w:t>
      </w:r>
      <w:r w:rsidRPr="004D3578">
        <w:t xml:space="preserve"> </w:t>
      </w:r>
    </w:p>
    <w:p w14:paraId="15DA6111" w14:textId="772AC129" w:rsidR="00BC1A6A" w:rsidRDefault="00BC1A6A" w:rsidP="00BC1A6A">
      <w:bookmarkStart w:id="13" w:name="_Toc16619922"/>
      <w:r>
        <w:t xml:space="preserve">Because a number of FR2 bands overlap, whether to treat some inter-band combinations as intra-band, for the purpose of deriving the beam correspondence requirements, is useful to discuss. </w:t>
      </w:r>
    </w:p>
    <w:p w14:paraId="5AA34973" w14:textId="7AC94148" w:rsidR="0037118D" w:rsidRPr="00472D0B" w:rsidRDefault="00BC1A6A" w:rsidP="00BC1A6A">
      <w:pPr>
        <w:pStyle w:val="Proposal"/>
      </w:pPr>
      <w:r>
        <w:t>Proposal 2:</w:t>
      </w:r>
      <w:r>
        <w:tab/>
        <w:t>Further discussion to identify all cases applicable to the CA beam correspondence requirement in Rel-16 is needed.</w:t>
      </w:r>
      <w:bookmarkEnd w:id="13"/>
      <w:r>
        <w:t xml:space="preserve"> </w:t>
      </w:r>
    </w:p>
    <w:p w14:paraId="34C99636" w14:textId="77777777" w:rsidR="008E7986" w:rsidRDefault="008E7986" w:rsidP="008E7986">
      <w:pPr>
        <w:pStyle w:val="Heading1"/>
      </w:pPr>
      <w:r>
        <w:lastRenderedPageBreak/>
        <w:t>3</w:t>
      </w:r>
      <w:r>
        <w:tab/>
        <w:t>Conclusions</w:t>
      </w:r>
    </w:p>
    <w:p w14:paraId="463B82DB" w14:textId="5D215645" w:rsidR="00E72ABE" w:rsidRDefault="009D0431" w:rsidP="00E72324">
      <w:r>
        <w:t xml:space="preserve">This contribution provided the analysis </w:t>
      </w:r>
      <w:r w:rsidR="00CC46EF">
        <w:t>of</w:t>
      </w:r>
      <w:r>
        <w:t xml:space="preserve"> the </w:t>
      </w:r>
      <w:r w:rsidR="00BC1A6A">
        <w:t>Rel-16 enhancements of</w:t>
      </w:r>
      <w:r>
        <w:t xml:space="preserve"> the beam correspondence requirement.</w:t>
      </w:r>
      <w:r w:rsidR="007414F1">
        <w:t xml:space="preserve">  The following observations and proposals have been made:</w:t>
      </w:r>
    </w:p>
    <w:p w14:paraId="38D634C7" w14:textId="77777777" w:rsidR="00BC1A6A" w:rsidRDefault="00F62AEB">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BC1A6A">
        <w:rPr>
          <w:noProof/>
        </w:rPr>
        <w:t>Observation 1:</w:t>
      </w:r>
      <w:r w:rsidR="00BC1A6A">
        <w:rPr>
          <w:rFonts w:asciiTheme="minorHAnsi" w:eastAsiaTheme="minorEastAsia" w:hAnsiTheme="minorHAnsi" w:cstheme="minorBidi"/>
          <w:b w:val="0"/>
          <w:bCs w:val="0"/>
          <w:noProof/>
          <w:sz w:val="24"/>
          <w:szCs w:val="24"/>
          <w:lang w:val="en-US"/>
        </w:rPr>
        <w:tab/>
      </w:r>
      <w:r w:rsidR="00BC1A6A">
        <w:rPr>
          <w:noProof/>
        </w:rPr>
        <w:t>Given the workload of Rel-16 NR RF in general and the relative value of items 1) and 2) above, it is our understanding that the Rel-16 work item beam correspondence objective is intended to provide a functional verification of the UE’s ability to select UL beams based on measurements of SSB only or CSI-RS only without necessarily reopening the RF requirement values on beam correspondence.</w:t>
      </w:r>
    </w:p>
    <w:p w14:paraId="0CB37CCE" w14:textId="77777777" w:rsidR="00BC1A6A" w:rsidRDefault="00BC1A6A">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The phrase “the same beam correspondence relationship for beam management is supported across CCs” implies that the UE shall be able to make DL measurements anywhere within the CCs (scope limited to contiguous UL CA up to 800 MHz aggregate BW) and be able to form the UL beam for an UL allocation anywhere within the CCs.</w:t>
      </w:r>
    </w:p>
    <w:p w14:paraId="5CC79B63" w14:textId="77777777" w:rsidR="00BC1A6A" w:rsidRDefault="00BC1A6A">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At least in the cases of UL CA between n260 and n257, n258, or n261 and between n259 and  n257, n258, or n261 it cannot be assumed the same beam correspondence relationship for beam management is supported across CCs, since the UE and/or the network may be using different hardware (which may not be co-located), thereby breaking any fixed spatial relationship between the carriers.</w:t>
      </w:r>
    </w:p>
    <w:p w14:paraId="4FBB4955" w14:textId="1ABBFC99" w:rsidR="005973BE" w:rsidRDefault="00F62AEB" w:rsidP="00E72324">
      <w:r>
        <w:rPr>
          <w:rFonts w:asciiTheme="minorHAnsi" w:hAnsiTheme="minorHAnsi"/>
          <w:bCs/>
        </w:rPr>
        <w:fldChar w:fldCharType="end"/>
      </w:r>
    </w:p>
    <w:p w14:paraId="0D990C3B" w14:textId="77777777" w:rsidR="00BC1A6A"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BC1A6A">
        <w:rPr>
          <w:noProof/>
        </w:rPr>
        <w:t>Proposal 1:</w:t>
      </w:r>
      <w:r w:rsidR="00BC1A6A">
        <w:rPr>
          <w:rFonts w:asciiTheme="minorHAnsi" w:eastAsiaTheme="minorEastAsia" w:hAnsiTheme="minorHAnsi" w:cstheme="minorBidi"/>
          <w:b w:val="0"/>
          <w:bCs w:val="0"/>
          <w:noProof/>
          <w:sz w:val="24"/>
          <w:szCs w:val="24"/>
          <w:lang w:val="en-US"/>
        </w:rPr>
        <w:tab/>
      </w:r>
      <w:r w:rsidR="00BC1A6A">
        <w:rPr>
          <w:noProof/>
        </w:rPr>
        <w:t>To define the Rel-16 requirement for beam correspondence based on SSB only and/or CSI-RS only use the RS density reduction approach to adjust the SNR side conditions without modifying the RF requirement.</w:t>
      </w:r>
    </w:p>
    <w:p w14:paraId="4376E51C" w14:textId="77777777" w:rsidR="00BC1A6A" w:rsidRDefault="00BC1A6A">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Further discussion to identify all cases applicable to the CA beam correspondence requirement in Rel-16 is needed.</w:t>
      </w:r>
    </w:p>
    <w:p w14:paraId="769CC3B8" w14:textId="7047CD3A" w:rsidR="0062595A" w:rsidRDefault="0062595A" w:rsidP="00E72324">
      <w:r>
        <w:rPr>
          <w:b/>
          <w:bCs/>
        </w:rPr>
        <w:fldChar w:fldCharType="end"/>
      </w:r>
    </w:p>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6512892B" w14:textId="6334F9F8" w:rsidR="00650832" w:rsidRDefault="00012549" w:rsidP="00C02552">
      <w:pPr>
        <w:pStyle w:val="EX"/>
      </w:pPr>
      <w:bookmarkStart w:id="14" w:name="_Ref16617333"/>
      <w:r w:rsidRPr="00012549">
        <w:t>RP-190761</w:t>
      </w:r>
      <w:r>
        <w:t>, “</w:t>
      </w:r>
      <w:r w:rsidRPr="00012549">
        <w:t>NR RF requirements for FR2</w:t>
      </w:r>
      <w:r>
        <w:t>”</w:t>
      </w:r>
      <w:bookmarkEnd w:id="14"/>
    </w:p>
    <w:p w14:paraId="026692DD" w14:textId="6AD7D682" w:rsidR="00012549" w:rsidRDefault="00012549" w:rsidP="00C02552">
      <w:pPr>
        <w:pStyle w:val="EX"/>
      </w:pPr>
      <w:bookmarkStart w:id="15" w:name="_Ref16618645"/>
      <w:r>
        <w:t>TS38.101-2</w:t>
      </w:r>
      <w:bookmarkEnd w:id="15"/>
    </w:p>
    <w:p w14:paraId="754D39CD" w14:textId="642EF266" w:rsidR="00346BF3" w:rsidRPr="004D3578" w:rsidRDefault="00314F0D" w:rsidP="00C02552">
      <w:pPr>
        <w:pStyle w:val="EX"/>
      </w:pPr>
      <w:bookmarkStart w:id="16" w:name="_Ref16618090"/>
      <w:r w:rsidRPr="00314F0D">
        <w:t>R4-1907612</w:t>
      </w:r>
      <w:r>
        <w:t>, “</w:t>
      </w:r>
      <w:r w:rsidRPr="00314F0D">
        <w:t>Remaining issues with the beam correspondence requirement</w:t>
      </w:r>
      <w:r>
        <w:t>”</w:t>
      </w:r>
      <w:bookmarkEnd w:id="16"/>
    </w:p>
    <w:bookmarkEnd w:id="0"/>
    <w:p w14:paraId="2C7BC95E" w14:textId="77777777" w:rsidR="00080512" w:rsidRDefault="00080512"/>
    <w:sectPr w:rsidR="00080512" w:rsidSect="003635C8">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7CB48" w14:textId="77777777" w:rsidR="006E479A" w:rsidRDefault="006E479A">
      <w:r>
        <w:separator/>
      </w:r>
    </w:p>
  </w:endnote>
  <w:endnote w:type="continuationSeparator" w:id="0">
    <w:p w14:paraId="2C9720F2" w14:textId="77777777" w:rsidR="006E479A" w:rsidRDefault="006E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D0DF0" w14:textId="5931E533" w:rsidR="003635C8" w:rsidRDefault="003635C8">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6F8C2" w14:textId="77777777" w:rsidR="006E479A" w:rsidRDefault="006E479A">
      <w:r>
        <w:separator/>
      </w:r>
    </w:p>
  </w:footnote>
  <w:footnote w:type="continuationSeparator" w:id="0">
    <w:p w14:paraId="02866F32" w14:textId="77777777" w:rsidR="006E479A" w:rsidRDefault="006E4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549"/>
    <w:rsid w:val="00033397"/>
    <w:rsid w:val="00040095"/>
    <w:rsid w:val="00051834"/>
    <w:rsid w:val="00054A22"/>
    <w:rsid w:val="00062023"/>
    <w:rsid w:val="000655A6"/>
    <w:rsid w:val="00072F25"/>
    <w:rsid w:val="00075DE9"/>
    <w:rsid w:val="00080512"/>
    <w:rsid w:val="000A365D"/>
    <w:rsid w:val="000B7B49"/>
    <w:rsid w:val="000C47C3"/>
    <w:rsid w:val="000C5593"/>
    <w:rsid w:val="000D58AB"/>
    <w:rsid w:val="000F16B5"/>
    <w:rsid w:val="000F390E"/>
    <w:rsid w:val="00104BC6"/>
    <w:rsid w:val="00133525"/>
    <w:rsid w:val="00182E9C"/>
    <w:rsid w:val="0019352A"/>
    <w:rsid w:val="001A4C42"/>
    <w:rsid w:val="001B7D07"/>
    <w:rsid w:val="001C21C3"/>
    <w:rsid w:val="001D02C2"/>
    <w:rsid w:val="001F0C1D"/>
    <w:rsid w:val="001F1132"/>
    <w:rsid w:val="001F168B"/>
    <w:rsid w:val="00211670"/>
    <w:rsid w:val="00230B5B"/>
    <w:rsid w:val="00232338"/>
    <w:rsid w:val="002347A2"/>
    <w:rsid w:val="00247926"/>
    <w:rsid w:val="00257664"/>
    <w:rsid w:val="002675F0"/>
    <w:rsid w:val="002747FA"/>
    <w:rsid w:val="00276EE4"/>
    <w:rsid w:val="002823DB"/>
    <w:rsid w:val="00284A66"/>
    <w:rsid w:val="002B33DF"/>
    <w:rsid w:val="002B6339"/>
    <w:rsid w:val="002E00EE"/>
    <w:rsid w:val="00314F0D"/>
    <w:rsid w:val="003172DC"/>
    <w:rsid w:val="00346BF3"/>
    <w:rsid w:val="0035462D"/>
    <w:rsid w:val="003635C8"/>
    <w:rsid w:val="0037102D"/>
    <w:rsid w:val="0037118D"/>
    <w:rsid w:val="003765B8"/>
    <w:rsid w:val="003865BF"/>
    <w:rsid w:val="003A0483"/>
    <w:rsid w:val="003B329E"/>
    <w:rsid w:val="003C3971"/>
    <w:rsid w:val="003C564B"/>
    <w:rsid w:val="003D6A98"/>
    <w:rsid w:val="003E419B"/>
    <w:rsid w:val="003E7753"/>
    <w:rsid w:val="003F147E"/>
    <w:rsid w:val="00405996"/>
    <w:rsid w:val="00423334"/>
    <w:rsid w:val="004345EC"/>
    <w:rsid w:val="00442444"/>
    <w:rsid w:val="00444D0B"/>
    <w:rsid w:val="00460223"/>
    <w:rsid w:val="00472D0B"/>
    <w:rsid w:val="00475964"/>
    <w:rsid w:val="004826A9"/>
    <w:rsid w:val="004A27F2"/>
    <w:rsid w:val="004B351C"/>
    <w:rsid w:val="004C1601"/>
    <w:rsid w:val="004D3578"/>
    <w:rsid w:val="004E213A"/>
    <w:rsid w:val="004F0988"/>
    <w:rsid w:val="004F3340"/>
    <w:rsid w:val="004F3E3D"/>
    <w:rsid w:val="00507DB0"/>
    <w:rsid w:val="0053388B"/>
    <w:rsid w:val="00535773"/>
    <w:rsid w:val="00543E6C"/>
    <w:rsid w:val="0056309F"/>
    <w:rsid w:val="00565087"/>
    <w:rsid w:val="00572E14"/>
    <w:rsid w:val="005973BE"/>
    <w:rsid w:val="005A5986"/>
    <w:rsid w:val="005C1A40"/>
    <w:rsid w:val="005C3436"/>
    <w:rsid w:val="005C4267"/>
    <w:rsid w:val="005D2E01"/>
    <w:rsid w:val="005D5E24"/>
    <w:rsid w:val="005D7526"/>
    <w:rsid w:val="005E69AE"/>
    <w:rsid w:val="00602AEA"/>
    <w:rsid w:val="00607E3C"/>
    <w:rsid w:val="00610775"/>
    <w:rsid w:val="00614FDF"/>
    <w:rsid w:val="00622097"/>
    <w:rsid w:val="006246A7"/>
    <w:rsid w:val="0062595A"/>
    <w:rsid w:val="00626A6B"/>
    <w:rsid w:val="0063543D"/>
    <w:rsid w:val="00647114"/>
    <w:rsid w:val="00650832"/>
    <w:rsid w:val="00673F6C"/>
    <w:rsid w:val="006A2DE2"/>
    <w:rsid w:val="006A323F"/>
    <w:rsid w:val="006B2C6E"/>
    <w:rsid w:val="006B30D0"/>
    <w:rsid w:val="006C3D95"/>
    <w:rsid w:val="006E479A"/>
    <w:rsid w:val="006E5C86"/>
    <w:rsid w:val="0070730A"/>
    <w:rsid w:val="00713C44"/>
    <w:rsid w:val="0073058F"/>
    <w:rsid w:val="00734A5B"/>
    <w:rsid w:val="0074026F"/>
    <w:rsid w:val="007414F1"/>
    <w:rsid w:val="007429F6"/>
    <w:rsid w:val="00744E76"/>
    <w:rsid w:val="00752075"/>
    <w:rsid w:val="00752198"/>
    <w:rsid w:val="00753881"/>
    <w:rsid w:val="007729C4"/>
    <w:rsid w:val="00774DA4"/>
    <w:rsid w:val="00781F0F"/>
    <w:rsid w:val="0078318F"/>
    <w:rsid w:val="007B600E"/>
    <w:rsid w:val="007F0F4A"/>
    <w:rsid w:val="008028A4"/>
    <w:rsid w:val="00820B25"/>
    <w:rsid w:val="008230BD"/>
    <w:rsid w:val="00830747"/>
    <w:rsid w:val="00855C2A"/>
    <w:rsid w:val="00857852"/>
    <w:rsid w:val="008768CA"/>
    <w:rsid w:val="008A5183"/>
    <w:rsid w:val="008A7BD2"/>
    <w:rsid w:val="008C384C"/>
    <w:rsid w:val="008E4697"/>
    <w:rsid w:val="008E7986"/>
    <w:rsid w:val="0090271F"/>
    <w:rsid w:val="00902E23"/>
    <w:rsid w:val="009114D7"/>
    <w:rsid w:val="0091348E"/>
    <w:rsid w:val="00917CCB"/>
    <w:rsid w:val="009319B2"/>
    <w:rsid w:val="00942EC2"/>
    <w:rsid w:val="009465C7"/>
    <w:rsid w:val="009C25EF"/>
    <w:rsid w:val="009D0431"/>
    <w:rsid w:val="009F37B7"/>
    <w:rsid w:val="009F5E43"/>
    <w:rsid w:val="00A01E38"/>
    <w:rsid w:val="00A10F02"/>
    <w:rsid w:val="00A1325F"/>
    <w:rsid w:val="00A164B4"/>
    <w:rsid w:val="00A20743"/>
    <w:rsid w:val="00A21269"/>
    <w:rsid w:val="00A26956"/>
    <w:rsid w:val="00A53724"/>
    <w:rsid w:val="00A73129"/>
    <w:rsid w:val="00A82346"/>
    <w:rsid w:val="00A92BA1"/>
    <w:rsid w:val="00AC6BC6"/>
    <w:rsid w:val="00AE3797"/>
    <w:rsid w:val="00B067DA"/>
    <w:rsid w:val="00B15449"/>
    <w:rsid w:val="00B93086"/>
    <w:rsid w:val="00B95542"/>
    <w:rsid w:val="00BA19ED"/>
    <w:rsid w:val="00BA300B"/>
    <w:rsid w:val="00BA4B8D"/>
    <w:rsid w:val="00BB0705"/>
    <w:rsid w:val="00BC0F7D"/>
    <w:rsid w:val="00BC1A6A"/>
    <w:rsid w:val="00BD134C"/>
    <w:rsid w:val="00BE3255"/>
    <w:rsid w:val="00BF128E"/>
    <w:rsid w:val="00C01331"/>
    <w:rsid w:val="00C02552"/>
    <w:rsid w:val="00C13E5F"/>
    <w:rsid w:val="00C1496A"/>
    <w:rsid w:val="00C33079"/>
    <w:rsid w:val="00C45231"/>
    <w:rsid w:val="00C63803"/>
    <w:rsid w:val="00C72833"/>
    <w:rsid w:val="00C80F1D"/>
    <w:rsid w:val="00C93F40"/>
    <w:rsid w:val="00CA3D0C"/>
    <w:rsid w:val="00CA62F9"/>
    <w:rsid w:val="00CC46EF"/>
    <w:rsid w:val="00CF20E3"/>
    <w:rsid w:val="00D309CC"/>
    <w:rsid w:val="00D31083"/>
    <w:rsid w:val="00D46431"/>
    <w:rsid w:val="00D56A52"/>
    <w:rsid w:val="00D57972"/>
    <w:rsid w:val="00D641A4"/>
    <w:rsid w:val="00D675A9"/>
    <w:rsid w:val="00D738D6"/>
    <w:rsid w:val="00D755EB"/>
    <w:rsid w:val="00D81E6F"/>
    <w:rsid w:val="00D87E00"/>
    <w:rsid w:val="00D9134D"/>
    <w:rsid w:val="00DA2311"/>
    <w:rsid w:val="00DA7A03"/>
    <w:rsid w:val="00DB1818"/>
    <w:rsid w:val="00DC309B"/>
    <w:rsid w:val="00DC4DA2"/>
    <w:rsid w:val="00DD4C17"/>
    <w:rsid w:val="00DF2B1F"/>
    <w:rsid w:val="00DF6189"/>
    <w:rsid w:val="00DF62CD"/>
    <w:rsid w:val="00E067CE"/>
    <w:rsid w:val="00E16509"/>
    <w:rsid w:val="00E44582"/>
    <w:rsid w:val="00E50039"/>
    <w:rsid w:val="00E51B12"/>
    <w:rsid w:val="00E52814"/>
    <w:rsid w:val="00E72324"/>
    <w:rsid w:val="00E72ABE"/>
    <w:rsid w:val="00E77645"/>
    <w:rsid w:val="00E80C3E"/>
    <w:rsid w:val="00E93157"/>
    <w:rsid w:val="00EB342C"/>
    <w:rsid w:val="00EC4A25"/>
    <w:rsid w:val="00EE5AA7"/>
    <w:rsid w:val="00F025A2"/>
    <w:rsid w:val="00F04712"/>
    <w:rsid w:val="00F21311"/>
    <w:rsid w:val="00F22EC7"/>
    <w:rsid w:val="00F325C8"/>
    <w:rsid w:val="00F41375"/>
    <w:rsid w:val="00F532F5"/>
    <w:rsid w:val="00F62AEB"/>
    <w:rsid w:val="00F653B8"/>
    <w:rsid w:val="00F70647"/>
    <w:rsid w:val="00F714EE"/>
    <w:rsid w:val="00FA1266"/>
    <w:rsid w:val="00FA794C"/>
    <w:rsid w:val="00FB109C"/>
    <w:rsid w:val="00FB7CB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styleId="PlaceholderText">
    <w:name w:val="Placeholder Text"/>
    <w:basedOn w:val="DefaultParagraphFont"/>
    <w:uiPriority w:val="99"/>
    <w:semiHidden/>
    <w:rsid w:val="00626A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CCCF3-ACA0-004F-9BB1-605252EB4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206</TotalTime>
  <Pages>5</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71</cp:revision>
  <cp:lastPrinted>2019-02-25T14:05:00Z</cp:lastPrinted>
  <dcterms:created xsi:type="dcterms:W3CDTF">2019-08-12T08:11:00Z</dcterms:created>
  <dcterms:modified xsi:type="dcterms:W3CDTF">2019-08-15T19:31:00Z</dcterms:modified>
  <cp:category/>
</cp:coreProperties>
</file>